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46D0040F" w:rsidR="00B0627C" w:rsidRPr="00161E86" w:rsidRDefault="00161E86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#9</w:t>
      </w:r>
      <w:r w:rsidR="002D4DA1">
        <w:rPr>
          <w:rFonts w:eastAsia="新細明體" w:cs="Arial"/>
          <w:noProof w:val="0"/>
          <w:sz w:val="24"/>
          <w:szCs w:val="24"/>
          <w:lang w:eastAsia="ja-JP"/>
        </w:rPr>
        <w:t>7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7F353F" w:rsidRPr="007F353F">
        <w:rPr>
          <w:rFonts w:cs="Arial"/>
          <w:bCs/>
          <w:noProof w:val="0"/>
          <w:color w:val="000000" w:themeColor="text1"/>
          <w:sz w:val="24"/>
          <w:lang w:val="en-GB"/>
        </w:rPr>
        <w:t>R4-2014359</w:t>
      </w:r>
    </w:p>
    <w:p w14:paraId="045D31BA" w14:textId="464191B0" w:rsidR="002D4DA1" w:rsidRPr="002D4DA1" w:rsidRDefault="002D4DA1" w:rsidP="002D4DA1">
      <w:pPr>
        <w:pStyle w:val="CRCoverPage"/>
        <w:outlineLvl w:val="0"/>
        <w:rPr>
          <w:b/>
          <w:noProof/>
          <w:sz w:val="24"/>
        </w:rPr>
      </w:pPr>
      <w:r w:rsidRPr="0091645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Pr="0091645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91645B">
        <w:rPr>
          <w:b/>
          <w:noProof/>
          <w:sz w:val="24"/>
          <w:vertAlign w:val="superscript"/>
        </w:rPr>
        <w:t>th</w:t>
      </w:r>
      <w:r w:rsidRPr="009164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Pr="0091645B">
        <w:rPr>
          <w:b/>
          <w:noProof/>
          <w:sz w:val="24"/>
        </w:rPr>
        <w:t xml:space="preserve">, 2020        </w:t>
      </w:r>
    </w:p>
    <w:p w14:paraId="477077A9" w14:textId="10901DA5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7322F8" w:rsidRPr="007322F8">
        <w:rPr>
          <w:rFonts w:cs="Arial"/>
          <w:b/>
          <w:bCs/>
          <w:color w:val="000000" w:themeColor="text1"/>
          <w:sz w:val="24"/>
        </w:rPr>
        <w:t>7.5.2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3FFC824F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D4DA1" w:rsidRPr="002D4DA1">
        <w:rPr>
          <w:rFonts w:ascii="Arial" w:hAnsi="Arial" w:cs="Arial"/>
          <w:b/>
          <w:bCs/>
          <w:color w:val="000000" w:themeColor="text1"/>
        </w:rPr>
        <w:t xml:space="preserve">Discussion on interruption time </w:t>
      </w:r>
      <w:r w:rsidR="00E45A1C" w:rsidRPr="00E45A1C">
        <w:rPr>
          <w:rFonts w:ascii="Arial" w:hAnsi="Arial" w:cs="Arial"/>
          <w:b/>
          <w:bCs/>
          <w:color w:val="000000" w:themeColor="text1"/>
        </w:rPr>
        <w:t>for CA with non-aligned frame boundaries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3137CF9C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7544CD58" w14:textId="01EF7F53" w:rsidR="00A14A52" w:rsidRDefault="00A14A52" w:rsidP="00A14A52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4" w:name="OLE_LINK1"/>
      <w:bookmarkStart w:id="5" w:name="OLE_LINK2"/>
      <w:bookmarkStart w:id="6" w:name="OLE_LINK132"/>
      <w:bookmarkStart w:id="7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E45A1C">
        <w:rPr>
          <w:rFonts w:eastAsiaTheme="minorEastAsia" w:cs="Arial"/>
          <w:sz w:val="22"/>
          <w:lang w:eastAsia="zh-CN"/>
        </w:rPr>
        <w:t xml:space="preserve">RAN </w:t>
      </w:r>
      <w:r w:rsidR="00E45A1C" w:rsidRPr="00E45A1C">
        <w:rPr>
          <w:rFonts w:eastAsiaTheme="minorEastAsia" w:cs="Arial"/>
          <w:sz w:val="22"/>
          <w:lang w:eastAsia="zh-CN"/>
        </w:rPr>
        <w:t>#88</w:t>
      </w:r>
      <w:r w:rsidR="00E45A1C">
        <w:rPr>
          <w:rFonts w:eastAsiaTheme="minorEastAsia" w:cs="Arial"/>
          <w:sz w:val="22"/>
          <w:lang w:eastAsia="zh-CN"/>
        </w:rPr>
        <w:t xml:space="preserve">-e </w:t>
      </w:r>
      <w:r w:rsidR="00553CD3">
        <w:rPr>
          <w:rFonts w:eastAsiaTheme="minorEastAsia" w:cs="Arial"/>
          <w:sz w:val="22"/>
          <w:lang w:eastAsia="zh-CN"/>
        </w:rPr>
        <w:t>meeting</w:t>
      </w:r>
      <w:r w:rsidR="00E45A1C">
        <w:rPr>
          <w:rFonts w:eastAsiaTheme="minorEastAsia" w:cs="Arial"/>
          <w:sz w:val="22"/>
          <w:lang w:eastAsia="zh-CN"/>
        </w:rPr>
        <w:t xml:space="preserve"> </w:t>
      </w:r>
      <w:r w:rsidR="00E45A1C">
        <w:rPr>
          <w:rFonts w:eastAsiaTheme="minorEastAsia" w:cs="Arial"/>
          <w:sz w:val="22"/>
          <w:lang w:eastAsia="zh-CN"/>
        </w:rPr>
        <w:fldChar w:fldCharType="begin"/>
      </w:r>
      <w:r w:rsidR="00E45A1C">
        <w:rPr>
          <w:rFonts w:eastAsiaTheme="minorEastAsia" w:cs="Arial"/>
          <w:sz w:val="22"/>
          <w:lang w:eastAsia="zh-CN"/>
        </w:rPr>
        <w:instrText xml:space="preserve"> REF _Ref24030473 \n \h </w:instrText>
      </w:r>
      <w:r w:rsidR="00E45A1C">
        <w:rPr>
          <w:rFonts w:eastAsiaTheme="minorEastAsia" w:cs="Arial"/>
          <w:sz w:val="22"/>
          <w:lang w:eastAsia="zh-CN"/>
        </w:rPr>
      </w:r>
      <w:r w:rsidR="00E45A1C">
        <w:rPr>
          <w:rFonts w:eastAsiaTheme="minorEastAsia" w:cs="Arial"/>
          <w:sz w:val="22"/>
          <w:lang w:eastAsia="zh-CN"/>
        </w:rPr>
        <w:fldChar w:fldCharType="separate"/>
      </w:r>
      <w:r w:rsidR="007322F8">
        <w:rPr>
          <w:rFonts w:eastAsiaTheme="minorEastAsia" w:cs="Arial"/>
          <w:sz w:val="22"/>
          <w:lang w:eastAsia="zh-CN"/>
        </w:rPr>
        <w:t>[1]</w:t>
      </w:r>
      <w:r w:rsidR="00E45A1C"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, </w:t>
      </w:r>
      <w:r w:rsidR="00E45A1C">
        <w:rPr>
          <w:rFonts w:eastAsiaTheme="minorEastAsia" w:cs="Arial"/>
          <w:sz w:val="22"/>
          <w:lang w:eastAsia="zh-CN"/>
        </w:rPr>
        <w:t>it was agreed to introduce</w:t>
      </w:r>
      <w:r w:rsidR="00E45A1C" w:rsidRPr="00E45A1C">
        <w:rPr>
          <w:rFonts w:eastAsiaTheme="minorEastAsia" w:cs="Arial"/>
          <w:sz w:val="22"/>
          <w:lang w:eastAsia="zh-CN"/>
        </w:rPr>
        <w:t xml:space="preserve"> support for unaligned frame boundary with slot alignment and partial SFN alignment for R16 NR inter-band CA</w:t>
      </w:r>
      <w:r w:rsidR="00E45A1C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112E5C">
        <w:tc>
          <w:tcPr>
            <w:tcW w:w="9619" w:type="dxa"/>
          </w:tcPr>
          <w:p w14:paraId="227AFD82" w14:textId="1DD2C803" w:rsidR="00553CD3" w:rsidRPr="00E45A1C" w:rsidRDefault="00553CD3" w:rsidP="00E45A1C">
            <w:pPr>
              <w:spacing w:after="180" w:line="240" w:lineRule="auto"/>
              <w:rPr>
                <w:rFonts w:ascii="Times New Roman" w:eastAsia="新細明體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 w:rsidRPr="00E45A1C">
              <w:rPr>
                <w:rFonts w:ascii="Times New Roman" w:eastAsia="新細明體" w:hAnsi="Times New Roman" w:cs="Times New Roman"/>
                <w:b/>
                <w:sz w:val="20"/>
                <w:szCs w:val="20"/>
                <w:u w:val="single"/>
                <w:lang w:eastAsia="zh-CN"/>
              </w:rPr>
              <w:t>Agreements</w:t>
            </w:r>
            <w:r w:rsidR="00E45A1C">
              <w:rPr>
                <w:rFonts w:ascii="Times New Roman" w:eastAsia="新細明體" w:hAnsi="Times New Roman" w:cs="Times New Roman"/>
                <w:b/>
                <w:sz w:val="20"/>
                <w:szCs w:val="20"/>
                <w:u w:val="single"/>
                <w:lang w:eastAsia="zh-CN"/>
              </w:rPr>
              <w:t>:</w:t>
            </w:r>
          </w:p>
          <w:p w14:paraId="7D08C8F2" w14:textId="77777777" w:rsidR="00E45A1C" w:rsidRPr="00E45A1C" w:rsidRDefault="00E45A1C" w:rsidP="00E45A1C">
            <w:pPr>
              <w:numPr>
                <w:ilvl w:val="0"/>
                <w:numId w:val="39"/>
              </w:numPr>
              <w:spacing w:after="0" w:line="240" w:lineRule="auto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Introduce support for unaligned frame boundary with slot alignment and partial SFN alignment for R16 NR inter-band CA [RAN1, RAN2]</w:t>
            </w:r>
          </w:p>
          <w:p w14:paraId="5511D962" w14:textId="77777777" w:rsidR="00E45A1C" w:rsidRPr="00E45A1C" w:rsidRDefault="00E45A1C" w:rsidP="00E45A1C">
            <w:pPr>
              <w:numPr>
                <w:ilvl w:val="1"/>
                <w:numId w:val="39"/>
              </w:numPr>
              <w:spacing w:after="0" w:line="240" w:lineRule="auto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Misalignment should be limited to ±76800Ts</w:t>
            </w:r>
          </w:p>
          <w:p w14:paraId="28CD6CFA" w14:textId="77777777" w:rsidR="00E45A1C" w:rsidRPr="00E45A1C" w:rsidRDefault="00E45A1C" w:rsidP="00E45A1C">
            <w:pPr>
              <w:numPr>
                <w:ilvl w:val="1"/>
                <w:numId w:val="39"/>
              </w:numPr>
              <w:spacing w:after="0" w:line="240" w:lineRule="auto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Signaling support for slot offset if necessary</w:t>
            </w:r>
          </w:p>
          <w:p w14:paraId="6BDA8DA2" w14:textId="77777777" w:rsidR="00E45A1C" w:rsidRPr="00E45A1C" w:rsidRDefault="00E45A1C" w:rsidP="00E45A1C">
            <w:pPr>
              <w:spacing w:after="0" w:line="240" w:lineRule="auto"/>
              <w:ind w:left="720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Note: Unaligned frame boundary is only allowed for certain band combination</w:t>
            </w:r>
          </w:p>
          <w:p w14:paraId="3A785F63" w14:textId="77777777" w:rsidR="00E45A1C" w:rsidRPr="00E45A1C" w:rsidRDefault="00E45A1C" w:rsidP="00E45A1C">
            <w:pPr>
              <w:spacing w:after="0" w:line="240" w:lineRule="auto"/>
              <w:ind w:left="720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Note: Necessity of signaling support of slot offset should be discussed in RAN1</w:t>
            </w:r>
          </w:p>
          <w:p w14:paraId="36F02338" w14:textId="77777777" w:rsidR="00E45A1C" w:rsidRPr="00E45A1C" w:rsidRDefault="00E45A1C" w:rsidP="00E45A1C">
            <w:pPr>
              <w:spacing w:after="0" w:line="240" w:lineRule="auto"/>
              <w:ind w:left="720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Note: Blind detection of slot offset is not in scope</w:t>
            </w:r>
          </w:p>
          <w:p w14:paraId="3583F569" w14:textId="77777777" w:rsidR="00E45A1C" w:rsidRPr="00E45A1C" w:rsidRDefault="00E45A1C" w:rsidP="00E45A1C">
            <w:pPr>
              <w:spacing w:after="0" w:line="240" w:lineRule="auto"/>
              <w:ind w:left="720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Note: No optimization for MAC</w:t>
            </w:r>
          </w:p>
          <w:p w14:paraId="7C496D53" w14:textId="6A57FF72" w:rsidR="00552D0E" w:rsidRPr="00553CD3" w:rsidRDefault="00E45A1C" w:rsidP="00E45A1C">
            <w:pPr>
              <w:spacing w:after="0" w:line="240" w:lineRule="auto"/>
              <w:ind w:left="720"/>
              <w:textAlignment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Note: Feature is optional and capability signaling is introduced by RAN2</w:t>
            </w:r>
            <w:r w:rsidRPr="00E45A1C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</w:tbl>
    <w:p w14:paraId="00BDD374" w14:textId="41063FAC" w:rsidR="00E45A1C" w:rsidRDefault="00E45A1C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8" w:name="_Ref32352040"/>
      <w:r>
        <w:rPr>
          <w:rFonts w:eastAsiaTheme="minorEastAsia" w:cs="Arial"/>
          <w:sz w:val="22"/>
          <w:lang w:val="en-GB" w:eastAsia="zh-TW"/>
        </w:rPr>
        <w:t>In RAN #89</w:t>
      </w:r>
      <w:r w:rsidRPr="00E45A1C">
        <w:rPr>
          <w:rFonts w:eastAsiaTheme="minorEastAsia" w:cs="Arial"/>
          <w:sz w:val="22"/>
          <w:lang w:val="en-GB" w:eastAsia="zh-TW"/>
        </w:rPr>
        <w:t>-e meeting</w:t>
      </w:r>
      <w:r>
        <w:rPr>
          <w:rFonts w:eastAsiaTheme="minorEastAsia" w:cs="Arial"/>
          <w:sz w:val="22"/>
          <w:lang w:val="en-GB" w:eastAsia="zh-TW"/>
        </w:rPr>
        <w:t xml:space="preserve"> </w:t>
      </w:r>
      <w:r>
        <w:rPr>
          <w:rFonts w:eastAsiaTheme="minorEastAsia" w:cs="Arial"/>
          <w:sz w:val="22"/>
          <w:lang w:val="en-GB" w:eastAsia="zh-TW"/>
        </w:rPr>
        <w:fldChar w:fldCharType="begin"/>
      </w:r>
      <w:r>
        <w:rPr>
          <w:rFonts w:eastAsiaTheme="minorEastAsia" w:cs="Arial"/>
          <w:sz w:val="22"/>
          <w:lang w:val="en-GB" w:eastAsia="zh-TW"/>
        </w:rPr>
        <w:instrText xml:space="preserve"> REF _Ref47553521 \n \h </w:instrText>
      </w:r>
      <w:r>
        <w:rPr>
          <w:rFonts w:eastAsiaTheme="minorEastAsia" w:cs="Arial"/>
          <w:sz w:val="22"/>
          <w:lang w:val="en-GB" w:eastAsia="zh-TW"/>
        </w:rPr>
      </w:r>
      <w:r>
        <w:rPr>
          <w:rFonts w:eastAsiaTheme="minorEastAsia" w:cs="Arial"/>
          <w:sz w:val="22"/>
          <w:lang w:val="en-GB" w:eastAsia="zh-TW"/>
        </w:rPr>
        <w:fldChar w:fldCharType="separate"/>
      </w:r>
      <w:r w:rsidR="007322F8">
        <w:rPr>
          <w:rFonts w:eastAsiaTheme="minorEastAsia" w:cs="Arial"/>
          <w:sz w:val="22"/>
          <w:lang w:val="en-GB" w:eastAsia="zh-TW"/>
        </w:rPr>
        <w:t>[2]</w:t>
      </w:r>
      <w:r>
        <w:rPr>
          <w:rFonts w:eastAsiaTheme="minorEastAsia" w:cs="Arial"/>
          <w:sz w:val="22"/>
          <w:lang w:val="en-GB" w:eastAsia="zh-TW"/>
        </w:rPr>
        <w:fldChar w:fldCharType="end"/>
      </w:r>
      <w:r>
        <w:rPr>
          <w:rFonts w:eastAsiaTheme="minorEastAsia" w:cs="Arial"/>
          <w:sz w:val="22"/>
          <w:lang w:val="en-GB" w:eastAsia="zh-TW"/>
        </w:rPr>
        <w:t>, companies further reached consensus on the following way forward: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E45A1C" w:rsidRPr="00616CED" w14:paraId="79BD90C0" w14:textId="77777777" w:rsidTr="003871DE">
        <w:tc>
          <w:tcPr>
            <w:tcW w:w="9619" w:type="dxa"/>
          </w:tcPr>
          <w:p w14:paraId="3A69775B" w14:textId="77777777" w:rsidR="00E45A1C" w:rsidRPr="00E45A1C" w:rsidRDefault="00E45A1C" w:rsidP="00E45A1C">
            <w:pPr>
              <w:spacing w:after="180" w:line="240" w:lineRule="auto"/>
              <w:rPr>
                <w:rFonts w:ascii="Times New Roman" w:eastAsia="新細明體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 w:rsidRPr="00E45A1C">
              <w:rPr>
                <w:rFonts w:ascii="Times New Roman" w:eastAsia="新細明體" w:hAnsi="Times New Roman" w:cs="Times New Roman"/>
                <w:b/>
                <w:sz w:val="20"/>
                <w:szCs w:val="20"/>
                <w:u w:val="single"/>
                <w:lang w:eastAsia="zh-CN"/>
              </w:rPr>
              <w:t>Concluded way forward:</w:t>
            </w:r>
          </w:p>
          <w:p w14:paraId="7B14AA55" w14:textId="77777777" w:rsidR="00E45A1C" w:rsidRPr="00E45A1C" w:rsidRDefault="00E45A1C" w:rsidP="00E45A1C">
            <w:pPr>
              <w:numPr>
                <w:ilvl w:val="0"/>
                <w:numId w:val="39"/>
              </w:numPr>
              <w:spacing w:after="0" w:line="240" w:lineRule="auto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Rel-16 inter-band CA with non-aligned frame boundaries support the following cases</w:t>
            </w:r>
          </w:p>
          <w:p w14:paraId="62D77BA2" w14:textId="77777777" w:rsidR="00E45A1C" w:rsidRPr="00E45A1C" w:rsidRDefault="00E45A1C" w:rsidP="00E45A1C">
            <w:pPr>
              <w:numPr>
                <w:ilvl w:val="1"/>
                <w:numId w:val="39"/>
              </w:numPr>
              <w:spacing w:after="0" w:line="240" w:lineRule="auto"/>
              <w:textAlignment w:val="center"/>
              <w:rPr>
                <w:rFonts w:ascii="Times New Roman" w:eastAsia="新細明體" w:hAnsi="Times New Roman" w:cs="Times New Roman"/>
                <w:sz w:val="20"/>
                <w:szCs w:val="20"/>
                <w:lang w:eastAsia="zh-CN"/>
              </w:rPr>
            </w:pP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Case A: Within the same cell group, the lowest subcarrier spacing of the subcarrier spacings given in </w:t>
            </w:r>
            <w:r w:rsidRPr="00E45A1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scs-SpecificCarrierList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 for PCell/PSCell is </w:t>
            </w:r>
            <w:r w:rsidRPr="007322F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>smaller than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or equal to the lowest subcarrier spacing of the subcarrier spacings given in </w:t>
            </w:r>
            <w:r w:rsidRPr="00E45A1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scs-SpecificCarrierList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 for each of the Scells</w:t>
            </w:r>
          </w:p>
          <w:p w14:paraId="7FAEE052" w14:textId="77777777" w:rsidR="00E45A1C" w:rsidRPr="00E45A1C" w:rsidRDefault="00E45A1C" w:rsidP="00E45A1C">
            <w:pPr>
              <w:numPr>
                <w:ilvl w:val="1"/>
                <w:numId w:val="40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Case B: Within the same cell group, the lowest subcarrier spacing of the subcarrier spacings given in </w:t>
            </w:r>
            <w:r w:rsidRPr="00E45A1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scs-SpecificCarrierList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 for PCell/PSCell is </w:t>
            </w:r>
            <w:r w:rsidRPr="007322F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zh-CN"/>
              </w:rPr>
              <w:t>larger than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the lowest subcarrier spacing of the subcarrier spacings given in </w:t>
            </w:r>
            <w:r w:rsidRPr="00E45A1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scs-SpecificCarrierList</w:t>
            </w: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 for at least one of the Scells</w:t>
            </w:r>
          </w:p>
          <w:p w14:paraId="72E0AE42" w14:textId="77777777" w:rsidR="00E45A1C" w:rsidRPr="00E45A1C" w:rsidRDefault="00E45A1C" w:rsidP="00E45A1C">
            <w:pPr>
              <w:numPr>
                <w:ilvl w:val="0"/>
                <w:numId w:val="40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How to handle the ambiguities, including SMTC window &amp; DRX timing, for Case B is up to WGs</w:t>
            </w:r>
          </w:p>
          <w:p w14:paraId="308A1F93" w14:textId="77777777" w:rsidR="00E45A1C" w:rsidRPr="00E45A1C" w:rsidRDefault="00E45A1C" w:rsidP="00E45A1C">
            <w:pPr>
              <w:numPr>
                <w:ilvl w:val="0"/>
                <w:numId w:val="40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新細明體" w:hAnsi="Times New Roman" w:cs="Times New Roman"/>
                <w:sz w:val="20"/>
                <w:szCs w:val="20"/>
                <w:lang w:val="en-GB" w:eastAsia="zh-CN"/>
              </w:rPr>
              <w:t>RAN2 to work on the remaining details on the UE capability signaling to support the above cases separately without impacting ASN.1 backward compatibility once the ambiguities for Case B are resolved</w:t>
            </w:r>
          </w:p>
          <w:p w14:paraId="70975C51" w14:textId="6D0030CF" w:rsidR="00E45A1C" w:rsidRPr="00E45A1C" w:rsidRDefault="00E45A1C" w:rsidP="00E45A1C">
            <w:pPr>
              <w:numPr>
                <w:ilvl w:val="1"/>
                <w:numId w:val="40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E45A1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For UE capability signaling design, UE capability for Case A is a pre-requisite of UE capability for Case B</w:t>
            </w:r>
          </w:p>
        </w:tc>
      </w:tr>
    </w:tbl>
    <w:p w14:paraId="0274C989" w14:textId="25AF2B89" w:rsidR="00E45A1C" w:rsidRPr="00E45A1C" w:rsidRDefault="00553CD3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  <w:r w:rsidRPr="002019F4">
        <w:rPr>
          <w:rFonts w:eastAsiaTheme="minorEastAsia" w:cs="Arial" w:hint="eastAsia"/>
          <w:sz w:val="22"/>
          <w:lang w:val="en-GB" w:eastAsia="zh-TW"/>
        </w:rPr>
        <w:t xml:space="preserve">In this paper, we discuss </w:t>
      </w:r>
      <w:r w:rsidR="00E45A1C">
        <w:rPr>
          <w:rFonts w:eastAsiaTheme="minorEastAsia" w:cs="Arial"/>
          <w:sz w:val="22"/>
          <w:lang w:val="en-GB" w:eastAsia="zh-TW"/>
        </w:rPr>
        <w:t xml:space="preserve">the RAN4 spec impact caused by introducing </w:t>
      </w:r>
      <w:r w:rsidR="00E45A1C" w:rsidRPr="00E45A1C">
        <w:rPr>
          <w:rFonts w:eastAsiaTheme="minorEastAsia" w:cs="Arial"/>
          <w:sz w:val="22"/>
          <w:lang w:val="en-GB" w:eastAsia="zh-TW"/>
        </w:rPr>
        <w:t>R16 NR inter-band CA with non-aligned frame boundaries</w:t>
      </w:r>
      <w:r w:rsidR="00E45A1C">
        <w:rPr>
          <w:rFonts w:eastAsiaTheme="minorEastAsia" w:cs="Arial"/>
          <w:sz w:val="22"/>
          <w:lang w:val="en-GB" w:eastAsia="zh-TW"/>
        </w:rPr>
        <w:t>.</w:t>
      </w:r>
    </w:p>
    <w:p w14:paraId="62BA15CC" w14:textId="301B7242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bookmarkEnd w:id="8"/>
    </w:p>
    <w:p w14:paraId="4C60A7FB" w14:textId="758A664F" w:rsidR="00672DF8" w:rsidRPr="00672DF8" w:rsidRDefault="00672DF8" w:rsidP="00672DF8">
      <w:pPr>
        <w:rPr>
          <w:rFonts w:ascii="Arial" w:hAnsi="Arial" w:cs="Arial"/>
        </w:rPr>
      </w:pPr>
      <w:r w:rsidRPr="00672DF8">
        <w:rPr>
          <w:rFonts w:ascii="Arial" w:hAnsi="Arial" w:cs="Arial"/>
        </w:rPr>
        <w:t xml:space="preserve">According to </w:t>
      </w:r>
      <w:r w:rsidRPr="00672DF8">
        <w:rPr>
          <w:rFonts w:ascii="Arial" w:hAnsi="Arial" w:cs="Arial"/>
          <w:b/>
        </w:rPr>
        <w:t>38.133</w:t>
      </w:r>
      <w:r w:rsidR="00E45A1C">
        <w:rPr>
          <w:rFonts w:ascii="Arial" w:hAnsi="Arial" w:cs="Arial"/>
          <w:b/>
        </w:rPr>
        <w:t xml:space="preserve"> </w:t>
      </w:r>
      <w:r w:rsidR="00E45A1C">
        <w:rPr>
          <w:rFonts w:ascii="Arial" w:hAnsi="Arial" w:cs="Arial"/>
          <w:b/>
        </w:rPr>
        <w:fldChar w:fldCharType="begin"/>
      </w:r>
      <w:r w:rsidR="00E45A1C">
        <w:rPr>
          <w:rFonts w:ascii="Arial" w:hAnsi="Arial" w:cs="Arial"/>
          <w:b/>
        </w:rPr>
        <w:instrText xml:space="preserve"> REF _Ref53777183 \n \h </w:instrText>
      </w:r>
      <w:r w:rsidR="00E45A1C">
        <w:rPr>
          <w:rFonts w:ascii="Arial" w:hAnsi="Arial" w:cs="Arial"/>
          <w:b/>
        </w:rPr>
      </w:r>
      <w:r w:rsidR="00E45A1C">
        <w:rPr>
          <w:rFonts w:ascii="Arial" w:hAnsi="Arial" w:cs="Arial"/>
          <w:b/>
        </w:rPr>
        <w:fldChar w:fldCharType="separate"/>
      </w:r>
      <w:r w:rsidR="007322F8">
        <w:rPr>
          <w:rFonts w:ascii="Arial" w:hAnsi="Arial" w:cs="Arial"/>
          <w:b/>
        </w:rPr>
        <w:t>[3]</w:t>
      </w:r>
      <w:r w:rsidR="00E45A1C">
        <w:rPr>
          <w:rFonts w:ascii="Arial" w:hAnsi="Arial" w:cs="Arial"/>
          <w:b/>
        </w:rPr>
        <w:fldChar w:fldCharType="end"/>
      </w:r>
      <w:r w:rsidRPr="00672DF8">
        <w:rPr>
          <w:rFonts w:ascii="Arial" w:hAnsi="Arial" w:cs="Arial"/>
        </w:rPr>
        <w:t xml:space="preserve"> </w:t>
      </w:r>
      <w:r w:rsidRPr="00672DF8">
        <w:rPr>
          <w:rFonts w:ascii="Arial" w:hAnsi="Arial" w:cs="Arial"/>
          <w:b/>
        </w:rPr>
        <w:t>9.1.2 Measurement gap</w:t>
      </w:r>
      <w:r w:rsidRPr="00672DF8">
        <w:rPr>
          <w:rFonts w:ascii="Arial" w:hAnsi="Arial" w:cs="Arial"/>
        </w:rPr>
        <w:t>, the configurable measurement gap length (MGL) is summarized below in Table I. It can be seen that MGL is a multiple of 1ms for FR1 and a multiple of 0.5ms for FR2.</w:t>
      </w:r>
    </w:p>
    <w:p w14:paraId="33192399" w14:textId="188C6BA0" w:rsidR="00672DF8" w:rsidRPr="00672DF8" w:rsidRDefault="00672DF8" w:rsidP="00672DF8">
      <w:pPr>
        <w:jc w:val="center"/>
        <w:rPr>
          <w:rFonts w:ascii="Arial" w:hAnsi="Arial" w:cs="Arial"/>
        </w:rPr>
      </w:pPr>
      <w:r w:rsidRPr="00672DF8">
        <w:rPr>
          <w:rFonts w:ascii="Arial" w:hAnsi="Arial" w:cs="Arial"/>
          <w:b/>
        </w:rPr>
        <w:t>Table I:</w:t>
      </w:r>
      <w:r w:rsidRPr="00672DF8">
        <w:rPr>
          <w:rFonts w:ascii="Arial" w:hAnsi="Arial" w:cs="Arial"/>
        </w:rPr>
        <w:t xml:space="preserve"> </w:t>
      </w:r>
      <w:r w:rsidRPr="00672DF8">
        <w:rPr>
          <w:rFonts w:ascii="Arial" w:hAnsi="Arial" w:cs="Arial"/>
          <w:b/>
        </w:rPr>
        <w:t>Gap Pattern Configurations in 38.133</w:t>
      </w:r>
      <w:r w:rsidR="00E45A1C">
        <w:rPr>
          <w:rFonts w:ascii="Arial" w:hAnsi="Arial" w:cs="Arial"/>
          <w:b/>
        </w:rPr>
        <w:t xml:space="preserve"> </w:t>
      </w:r>
      <w:r w:rsidR="00E45A1C">
        <w:rPr>
          <w:rFonts w:ascii="Arial" w:hAnsi="Arial" w:cs="Arial"/>
          <w:b/>
        </w:rPr>
        <w:fldChar w:fldCharType="begin"/>
      </w:r>
      <w:r w:rsidR="00E45A1C">
        <w:rPr>
          <w:rFonts w:ascii="Arial" w:hAnsi="Arial" w:cs="Arial"/>
          <w:b/>
        </w:rPr>
        <w:instrText xml:space="preserve"> REF _Ref53777183 \n \h </w:instrText>
      </w:r>
      <w:r w:rsidR="00E45A1C">
        <w:rPr>
          <w:rFonts w:ascii="Arial" w:hAnsi="Arial" w:cs="Arial"/>
          <w:b/>
        </w:rPr>
      </w:r>
      <w:r w:rsidR="00E45A1C">
        <w:rPr>
          <w:rFonts w:ascii="Arial" w:hAnsi="Arial" w:cs="Arial"/>
          <w:b/>
        </w:rPr>
        <w:fldChar w:fldCharType="separate"/>
      </w:r>
      <w:r w:rsidR="007322F8">
        <w:rPr>
          <w:rFonts w:ascii="Arial" w:hAnsi="Arial" w:cs="Arial"/>
          <w:b/>
        </w:rPr>
        <w:t>[3]</w:t>
      </w:r>
      <w:r w:rsidR="00E45A1C">
        <w:rPr>
          <w:rFonts w:ascii="Arial" w:hAnsi="Arial" w:cs="Arial"/>
          <w:b/>
        </w:rPr>
        <w:fldChar w:fldCharType="end"/>
      </w:r>
      <w:r w:rsidR="00E45A1C">
        <w:rPr>
          <w:rFonts w:ascii="Arial" w:hAnsi="Arial" w:cs="Arial"/>
          <w:b/>
        </w:rPr>
        <w:t xml:space="preserve"> </w:t>
      </w:r>
      <w:r w:rsidRPr="00672DF8">
        <w:rPr>
          <w:rFonts w:ascii="Arial" w:hAnsi="Arial" w:cs="Arial"/>
          <w:b/>
        </w:rPr>
        <w:t xml:space="preserve"> </w:t>
      </w:r>
    </w:p>
    <w:p w14:paraId="66776F22" w14:textId="5B3150AE" w:rsidR="00672DF8" w:rsidRPr="00672DF8" w:rsidRDefault="00672DF8" w:rsidP="00672DF8">
      <w:pPr>
        <w:jc w:val="center"/>
        <w:rPr>
          <w:rFonts w:ascii="Arial" w:hAnsi="Arial" w:cs="Arial"/>
          <w:noProof/>
          <w:lang w:eastAsia="zh-CN"/>
        </w:rPr>
      </w:pPr>
      <w:r w:rsidRPr="00672DF8">
        <w:rPr>
          <w:rFonts w:ascii="Arial" w:hAnsi="Arial" w:cs="Arial"/>
          <w:noProof/>
        </w:rPr>
        <w:drawing>
          <wp:inline distT="0" distB="0" distL="0" distR="0" wp14:anchorId="79DD3472" wp14:editId="247D33DF">
            <wp:extent cx="4514850" cy="3397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3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F614B" w14:textId="1B40F995" w:rsidR="00672DF8" w:rsidRPr="00672DF8" w:rsidRDefault="00672DF8" w:rsidP="00672DF8">
      <w:pPr>
        <w:rPr>
          <w:rFonts w:ascii="Arial" w:hAnsi="Arial" w:cs="Arial"/>
        </w:rPr>
      </w:pPr>
      <w:r w:rsidRPr="00672DF8">
        <w:rPr>
          <w:rFonts w:ascii="Arial" w:hAnsi="Arial" w:cs="Arial"/>
        </w:rPr>
        <w:t xml:space="preserve">Referring to the Figure 9.1.2-1-(b), and Table 9.1.2-4 in 38.133 </w:t>
      </w:r>
      <w:r w:rsidR="00E45A1C">
        <w:rPr>
          <w:rFonts w:ascii="Arial" w:hAnsi="Arial" w:cs="Arial"/>
        </w:rPr>
        <w:fldChar w:fldCharType="begin"/>
      </w:r>
      <w:r w:rsidR="00E45A1C">
        <w:rPr>
          <w:rFonts w:ascii="Arial" w:hAnsi="Arial" w:cs="Arial"/>
        </w:rPr>
        <w:instrText xml:space="preserve"> REF _Ref53777183 \n \h </w:instrText>
      </w:r>
      <w:r w:rsidR="00E45A1C">
        <w:rPr>
          <w:rFonts w:ascii="Arial" w:hAnsi="Arial" w:cs="Arial"/>
        </w:rPr>
      </w:r>
      <w:r w:rsidR="00E45A1C">
        <w:rPr>
          <w:rFonts w:ascii="Arial" w:hAnsi="Arial" w:cs="Arial"/>
        </w:rPr>
        <w:fldChar w:fldCharType="separate"/>
      </w:r>
      <w:r w:rsidR="007322F8">
        <w:rPr>
          <w:rFonts w:ascii="Arial" w:hAnsi="Arial" w:cs="Arial"/>
        </w:rPr>
        <w:t>[3]</w:t>
      </w:r>
      <w:r w:rsidR="00E45A1C">
        <w:rPr>
          <w:rFonts w:ascii="Arial" w:hAnsi="Arial" w:cs="Arial"/>
        </w:rPr>
        <w:fldChar w:fldCharType="end"/>
      </w:r>
      <w:r w:rsidRPr="00672DF8">
        <w:rPr>
          <w:rFonts w:ascii="Arial" w:hAnsi="Arial" w:cs="Arial"/>
        </w:rPr>
        <w:t xml:space="preserve">, it can be seen that a slot partially overlapped with the measurement gap is also included in the interruption time. </w:t>
      </w:r>
    </w:p>
    <w:p w14:paraId="537B2A58" w14:textId="268DF095" w:rsidR="00672DF8" w:rsidRPr="00672DF8" w:rsidRDefault="00672DF8" w:rsidP="00672DF8">
      <w:pPr>
        <w:rPr>
          <w:rFonts w:ascii="Arial" w:hAnsi="Arial" w:cs="Arial"/>
          <w:noProof/>
          <w:lang w:eastAsia="zh-CN"/>
        </w:rPr>
      </w:pPr>
      <w:r w:rsidRPr="00672DF8">
        <w:rPr>
          <w:rFonts w:ascii="Arial" w:hAnsi="Arial" w:cs="Arial"/>
          <w:noProof/>
        </w:rPr>
        <w:drawing>
          <wp:inline distT="0" distB="0" distL="0" distR="0" wp14:anchorId="3631E683" wp14:editId="59922274">
            <wp:extent cx="6083300" cy="230571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408" cy="230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45998" w14:textId="2C4D963C" w:rsidR="00672DF8" w:rsidRPr="00672DF8" w:rsidRDefault="00672DF8" w:rsidP="00672DF8">
      <w:pPr>
        <w:jc w:val="center"/>
        <w:rPr>
          <w:rFonts w:ascii="Arial" w:hAnsi="Arial" w:cs="Arial"/>
          <w:b/>
        </w:rPr>
      </w:pPr>
      <w:r w:rsidRPr="00672DF8">
        <w:rPr>
          <w:rFonts w:ascii="Arial" w:hAnsi="Arial" w:cs="Arial"/>
          <w:b/>
        </w:rPr>
        <w:t>Figure 9.1.2-1-(b) in 38.133</w:t>
      </w:r>
      <w:r w:rsidR="00E45A1C">
        <w:rPr>
          <w:rFonts w:ascii="Arial" w:hAnsi="Arial" w:cs="Arial"/>
          <w:b/>
        </w:rPr>
        <w:t xml:space="preserve"> </w:t>
      </w:r>
      <w:r w:rsidR="00E45A1C">
        <w:rPr>
          <w:rFonts w:ascii="Arial" w:hAnsi="Arial" w:cs="Arial"/>
          <w:b/>
        </w:rPr>
        <w:fldChar w:fldCharType="begin"/>
      </w:r>
      <w:r w:rsidR="00E45A1C">
        <w:rPr>
          <w:rFonts w:ascii="Arial" w:hAnsi="Arial" w:cs="Arial"/>
          <w:b/>
        </w:rPr>
        <w:instrText xml:space="preserve"> REF _Ref53777183 \n \h </w:instrText>
      </w:r>
      <w:r w:rsidR="00E45A1C">
        <w:rPr>
          <w:rFonts w:ascii="Arial" w:hAnsi="Arial" w:cs="Arial"/>
          <w:b/>
        </w:rPr>
      </w:r>
      <w:r w:rsidR="00E45A1C">
        <w:rPr>
          <w:rFonts w:ascii="Arial" w:hAnsi="Arial" w:cs="Arial"/>
          <w:b/>
        </w:rPr>
        <w:fldChar w:fldCharType="separate"/>
      </w:r>
      <w:r w:rsidR="007322F8">
        <w:rPr>
          <w:rFonts w:ascii="Arial" w:hAnsi="Arial" w:cs="Arial"/>
          <w:b/>
        </w:rPr>
        <w:t>[3]</w:t>
      </w:r>
      <w:r w:rsidR="00E45A1C">
        <w:rPr>
          <w:rFonts w:ascii="Arial" w:hAnsi="Arial" w:cs="Arial"/>
          <w:b/>
        </w:rPr>
        <w:fldChar w:fldCharType="end"/>
      </w:r>
      <w:r w:rsidRPr="00672DF8">
        <w:rPr>
          <w:rFonts w:ascii="Arial" w:hAnsi="Arial" w:cs="Arial"/>
          <w:b/>
        </w:rPr>
        <w:t xml:space="preserve"> </w:t>
      </w:r>
    </w:p>
    <w:p w14:paraId="22BDFE14" w14:textId="63C71D3F" w:rsidR="00672DF8" w:rsidRPr="00672DF8" w:rsidRDefault="00672DF8" w:rsidP="00672DF8">
      <w:pPr>
        <w:rPr>
          <w:rFonts w:ascii="Arial" w:hAnsi="Arial" w:cs="Arial"/>
        </w:rPr>
      </w:pPr>
      <w:r w:rsidRPr="00672DF8">
        <w:rPr>
          <w:rFonts w:ascii="Arial" w:hAnsi="Arial" w:cs="Arial"/>
          <w:noProof/>
        </w:rPr>
        <w:lastRenderedPageBreak/>
        <w:drawing>
          <wp:inline distT="0" distB="0" distL="0" distR="0" wp14:anchorId="3364F50D" wp14:editId="63739279">
            <wp:extent cx="6127750" cy="2857500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90148" w14:textId="176049A3" w:rsidR="00672DF8" w:rsidRPr="00672DF8" w:rsidRDefault="00672DF8" w:rsidP="00672DF8">
      <w:pPr>
        <w:rPr>
          <w:rFonts w:ascii="Arial" w:hAnsi="Arial" w:cs="Arial"/>
        </w:rPr>
      </w:pPr>
      <w:r w:rsidRPr="00672DF8">
        <w:rPr>
          <w:rFonts w:ascii="Arial" w:hAnsi="Arial" w:cs="Arial"/>
        </w:rPr>
        <w:t xml:space="preserve">Therefore, following the same logic as Figure 9.1.2-1-(b) in 38.133 </w:t>
      </w:r>
      <w:r w:rsidR="00E45A1C">
        <w:rPr>
          <w:rFonts w:ascii="Arial" w:hAnsi="Arial" w:cs="Arial"/>
        </w:rPr>
        <w:fldChar w:fldCharType="begin"/>
      </w:r>
      <w:r w:rsidR="00E45A1C">
        <w:rPr>
          <w:rFonts w:ascii="Arial" w:hAnsi="Arial" w:cs="Arial"/>
        </w:rPr>
        <w:instrText xml:space="preserve"> REF _Ref53777183 \n \h </w:instrText>
      </w:r>
      <w:r w:rsidR="00E45A1C">
        <w:rPr>
          <w:rFonts w:ascii="Arial" w:hAnsi="Arial" w:cs="Arial"/>
        </w:rPr>
      </w:r>
      <w:r w:rsidR="00E45A1C">
        <w:rPr>
          <w:rFonts w:ascii="Arial" w:hAnsi="Arial" w:cs="Arial"/>
        </w:rPr>
        <w:fldChar w:fldCharType="separate"/>
      </w:r>
      <w:r w:rsidR="007322F8">
        <w:rPr>
          <w:rFonts w:ascii="Arial" w:hAnsi="Arial" w:cs="Arial"/>
        </w:rPr>
        <w:t>[3]</w:t>
      </w:r>
      <w:r w:rsidR="00E45A1C">
        <w:rPr>
          <w:rFonts w:ascii="Arial" w:hAnsi="Arial" w:cs="Arial"/>
        </w:rPr>
        <w:fldChar w:fldCharType="end"/>
      </w:r>
      <w:r w:rsidRPr="00672DF8">
        <w:rPr>
          <w:rFonts w:ascii="Arial" w:hAnsi="Arial" w:cs="Arial"/>
        </w:rPr>
        <w:t xml:space="preserve">, SCC slot 0/slot </w:t>
      </w:r>
      <w:r w:rsidR="00E45A1C">
        <w:rPr>
          <w:rFonts w:ascii="Arial" w:hAnsi="Arial" w:cs="Arial"/>
        </w:rPr>
        <w:t>6</w:t>
      </w:r>
      <w:r w:rsidRPr="00672DF8">
        <w:rPr>
          <w:rFonts w:ascii="Arial" w:hAnsi="Arial" w:cs="Arial"/>
        </w:rPr>
        <w:t xml:space="preserve"> shown in the figure below should also be included in the interruption time in </w:t>
      </w:r>
      <w:r w:rsidR="00CE4253" w:rsidRPr="00CE4253">
        <w:rPr>
          <w:rFonts w:ascii="Arial" w:hAnsi="Arial" w:cs="Arial"/>
        </w:rPr>
        <w:t>CA with non-aligned frame boundaries</w:t>
      </w:r>
      <w:r w:rsidRPr="00672DF8">
        <w:rPr>
          <w:rFonts w:ascii="Arial" w:hAnsi="Arial" w:cs="Arial"/>
        </w:rPr>
        <w:t>.</w:t>
      </w:r>
    </w:p>
    <w:p w14:paraId="534313F4" w14:textId="02E780D2" w:rsidR="00672DF8" w:rsidRPr="00672DF8" w:rsidRDefault="00E45A1C" w:rsidP="00672DF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9A13C99" wp14:editId="52FCE45A">
            <wp:extent cx="5829980" cy="1701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940" cy="1710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614797" w14:textId="77777777" w:rsidR="00672DF8" w:rsidRPr="00672DF8" w:rsidRDefault="00672DF8" w:rsidP="00672DF8">
      <w:pPr>
        <w:rPr>
          <w:rFonts w:ascii="Arial" w:hAnsi="Arial" w:cs="Arial"/>
        </w:rPr>
      </w:pPr>
      <w:r w:rsidRPr="00672DF8">
        <w:rPr>
          <w:rFonts w:ascii="Arial" w:hAnsi="Arial" w:cs="Arial"/>
        </w:rPr>
        <w:t>The following proposal is hence drawn:</w:t>
      </w:r>
    </w:p>
    <w:p w14:paraId="62043E6D" w14:textId="0475B7EE" w:rsidR="00672DF8" w:rsidRPr="00E45A1C" w:rsidRDefault="00E45A1C" w:rsidP="00E45A1C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53778765"/>
      <w:r w:rsidRPr="00E45A1C">
        <w:rPr>
          <w:rFonts w:ascii="Arial" w:hAnsi="Arial" w:cs="Arial"/>
          <w:i/>
          <w:sz w:val="22"/>
          <w:szCs w:val="22"/>
        </w:rPr>
        <w:t xml:space="preserve">Proposal </w:t>
      </w:r>
      <w:r w:rsidRPr="00E45A1C">
        <w:rPr>
          <w:rFonts w:ascii="Arial" w:hAnsi="Arial" w:cs="Arial"/>
          <w:i/>
          <w:sz w:val="22"/>
          <w:szCs w:val="22"/>
        </w:rPr>
        <w:fldChar w:fldCharType="begin"/>
      </w:r>
      <w:r w:rsidRPr="00E45A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45A1C">
        <w:rPr>
          <w:rFonts w:ascii="Arial" w:hAnsi="Arial" w:cs="Arial"/>
          <w:i/>
          <w:sz w:val="22"/>
          <w:szCs w:val="22"/>
        </w:rPr>
        <w:fldChar w:fldCharType="separate"/>
      </w:r>
      <w:r w:rsidR="007322F8">
        <w:rPr>
          <w:rFonts w:ascii="Arial" w:hAnsi="Arial" w:cs="Arial"/>
          <w:i/>
          <w:noProof/>
          <w:sz w:val="22"/>
          <w:szCs w:val="22"/>
        </w:rPr>
        <w:t>1</w:t>
      </w:r>
      <w:r w:rsidRPr="00E45A1C">
        <w:rPr>
          <w:rFonts w:ascii="Arial" w:hAnsi="Arial" w:cs="Arial"/>
          <w:i/>
          <w:sz w:val="22"/>
          <w:szCs w:val="22"/>
        </w:rPr>
        <w:fldChar w:fldCharType="end"/>
      </w:r>
      <w:r w:rsidRPr="00E45A1C"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i/>
          <w:sz w:val="22"/>
          <w:szCs w:val="22"/>
        </w:rPr>
        <w:t>RAN4 to</w:t>
      </w:r>
      <w:r w:rsidRPr="00E45A1C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</w:t>
      </w:r>
      <w:r w:rsidRPr="00E45A1C">
        <w:rPr>
          <w:rFonts w:ascii="Arial" w:hAnsi="Arial" w:cs="Arial"/>
          <w:i/>
          <w:sz w:val="22"/>
          <w:szCs w:val="22"/>
        </w:rPr>
        <w:t xml:space="preserve">larify </w:t>
      </w:r>
      <w:r>
        <w:rPr>
          <w:rFonts w:ascii="Arial" w:hAnsi="Arial" w:cs="Arial"/>
          <w:i/>
          <w:sz w:val="22"/>
          <w:szCs w:val="22"/>
        </w:rPr>
        <w:t xml:space="preserve">in the spec </w:t>
      </w:r>
      <w:r w:rsidRPr="00E45A1C">
        <w:rPr>
          <w:rFonts w:ascii="Arial" w:hAnsi="Arial" w:cs="Arial"/>
          <w:i/>
          <w:sz w:val="22"/>
          <w:szCs w:val="22"/>
        </w:rPr>
        <w:t>that for the CA with non-aligned frame boundaries scenario, total interruption time shall also consider and count the time duration of the slot which is partially overlapped with the measurement gap.</w:t>
      </w:r>
      <w:bookmarkEnd w:id="9"/>
    </w:p>
    <w:p w14:paraId="1FF95D3E" w14:textId="77777777" w:rsidR="00672DF8" w:rsidRDefault="00672DF8" w:rsidP="00B0627C">
      <w:pPr>
        <w:jc w:val="both"/>
        <w:rPr>
          <w:rFonts w:ascii="Arial" w:hAnsi="Arial" w:cs="Arial"/>
        </w:rPr>
      </w:pPr>
    </w:p>
    <w:p w14:paraId="3C7ACAE5" w14:textId="77777777" w:rsidR="00672DF8" w:rsidRDefault="00672DF8" w:rsidP="00B0627C">
      <w:pPr>
        <w:jc w:val="both"/>
        <w:rPr>
          <w:rFonts w:ascii="Arial" w:hAnsi="Arial" w:cs="Arial"/>
        </w:rPr>
      </w:pPr>
    </w:p>
    <w:p w14:paraId="331430E2" w14:textId="77777777" w:rsidR="00672DF8" w:rsidRDefault="00672DF8" w:rsidP="00B0627C">
      <w:pPr>
        <w:jc w:val="both"/>
        <w:rPr>
          <w:rFonts w:ascii="Arial" w:hAnsi="Arial" w:cs="Arial"/>
        </w:rPr>
      </w:pPr>
    </w:p>
    <w:p w14:paraId="50AD7C37" w14:textId="77777777" w:rsidR="00672DF8" w:rsidRDefault="00672DF8" w:rsidP="00B0627C">
      <w:pPr>
        <w:jc w:val="both"/>
        <w:rPr>
          <w:rFonts w:ascii="Arial" w:hAnsi="Arial" w:cs="Arial"/>
        </w:rPr>
      </w:pPr>
    </w:p>
    <w:p w14:paraId="1E87D2A4" w14:textId="77777777" w:rsidR="00672DF8" w:rsidRDefault="00672DF8" w:rsidP="00B0627C">
      <w:pPr>
        <w:jc w:val="both"/>
        <w:rPr>
          <w:rFonts w:ascii="Arial" w:hAnsi="Arial" w:cs="Arial"/>
        </w:rPr>
      </w:pPr>
    </w:p>
    <w:p w14:paraId="5BA8A402" w14:textId="77777777" w:rsidR="00672DF8" w:rsidRDefault="00672DF8" w:rsidP="00B0627C">
      <w:pPr>
        <w:jc w:val="both"/>
        <w:rPr>
          <w:rFonts w:ascii="Arial" w:hAnsi="Arial" w:cs="Arial"/>
        </w:rPr>
      </w:pPr>
    </w:p>
    <w:p w14:paraId="6FA8D709" w14:textId="77777777" w:rsidR="00672DF8" w:rsidRDefault="00672DF8" w:rsidP="00B0627C">
      <w:pPr>
        <w:jc w:val="both"/>
        <w:rPr>
          <w:rFonts w:ascii="Arial" w:hAnsi="Arial" w:cs="Arial"/>
        </w:rPr>
      </w:pPr>
    </w:p>
    <w:p w14:paraId="3B4E6D34" w14:textId="77777777" w:rsidR="00672DF8" w:rsidRDefault="00672DF8" w:rsidP="00B0627C">
      <w:pPr>
        <w:jc w:val="both"/>
        <w:rPr>
          <w:rFonts w:ascii="Arial" w:hAnsi="Arial" w:cs="Arial"/>
        </w:rPr>
      </w:pPr>
    </w:p>
    <w:bookmarkEnd w:id="0"/>
    <w:bookmarkEnd w:id="1"/>
    <w:bookmarkEnd w:id="4"/>
    <w:bookmarkEnd w:id="5"/>
    <w:bookmarkEnd w:id="6"/>
    <w:bookmarkEnd w:id="7"/>
    <w:p w14:paraId="3D0DE51E" w14:textId="68383663" w:rsidR="00B0627C" w:rsidRPr="009F29FB" w:rsidRDefault="00AB3275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5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AFB3CE8" w14:textId="2E80CB72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we have the following </w:t>
      </w:r>
      <w:r w:rsidR="009948DB">
        <w:rPr>
          <w:rFonts w:cs="Arial"/>
          <w:sz w:val="24"/>
        </w:rPr>
        <w:t>proposal</w:t>
      </w:r>
      <w:r>
        <w:rPr>
          <w:rFonts w:cs="Arial"/>
          <w:sz w:val="24"/>
        </w:rPr>
        <w:t>:</w:t>
      </w:r>
    </w:p>
    <w:p w14:paraId="1E099B4C" w14:textId="7B03F628" w:rsidR="00E45A1C" w:rsidRPr="00E45A1C" w:rsidRDefault="00E45A1C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E45A1C">
        <w:rPr>
          <w:rFonts w:eastAsia="SimSun" w:cs="Arial"/>
          <w:b/>
          <w:i/>
          <w:sz w:val="22"/>
        </w:rPr>
        <w:fldChar w:fldCharType="begin"/>
      </w:r>
      <w:r w:rsidRPr="00E45A1C">
        <w:rPr>
          <w:rFonts w:eastAsia="SimSun" w:cs="Arial"/>
          <w:b/>
          <w:i/>
          <w:sz w:val="22"/>
        </w:rPr>
        <w:instrText xml:space="preserve"> REF _Ref53778765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E45A1C">
        <w:rPr>
          <w:rFonts w:eastAsia="SimSun" w:cs="Arial"/>
          <w:b/>
          <w:i/>
          <w:sz w:val="22"/>
        </w:rPr>
      </w:r>
      <w:r w:rsidRPr="00E45A1C">
        <w:rPr>
          <w:rFonts w:eastAsia="SimSun" w:cs="Arial"/>
          <w:b/>
          <w:i/>
          <w:sz w:val="22"/>
        </w:rPr>
        <w:fldChar w:fldCharType="separate"/>
      </w:r>
      <w:r w:rsidR="007322F8" w:rsidRPr="007322F8">
        <w:rPr>
          <w:rFonts w:eastAsia="SimSun" w:cs="Arial"/>
          <w:b/>
          <w:i/>
          <w:sz w:val="22"/>
        </w:rPr>
        <w:t>Proposal 1:RAN4 to clarify in the spec that for the CA with non-aligned frame boundaries scenario, total interruption time shall also consider and count the time duration of the slot which is partially overlapped with the measurement gap.</w:t>
      </w:r>
      <w:r w:rsidRPr="00E45A1C">
        <w:rPr>
          <w:rFonts w:eastAsia="SimSun" w:cs="Arial"/>
          <w:b/>
          <w:i/>
          <w:sz w:val="22"/>
        </w:rPr>
        <w:fldChar w:fldCharType="end"/>
      </w:r>
    </w:p>
    <w:p w14:paraId="3AFEBC0B" w14:textId="451F2FD4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3DD251B" w14:textId="06F88C77" w:rsidR="009E6681" w:rsidRDefault="00E45A1C" w:rsidP="00E45A1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0" w:name="_Ref24030473"/>
      <w:bookmarkStart w:id="11" w:name="_Ref7353143"/>
      <w:r w:rsidRPr="00E45A1C">
        <w:rPr>
          <w:rFonts w:ascii="Arial" w:hAnsi="Arial" w:cs="Arial"/>
        </w:rPr>
        <w:t>RP-200791</w:t>
      </w:r>
      <w:r w:rsidR="009E6681">
        <w:rPr>
          <w:rFonts w:ascii="Arial" w:hAnsi="Arial" w:cs="Arial"/>
        </w:rPr>
        <w:t xml:space="preserve">, </w:t>
      </w:r>
      <w:r w:rsidRPr="00E45A1C">
        <w:rPr>
          <w:rFonts w:ascii="Arial" w:hAnsi="Arial" w:cs="Arial"/>
        </w:rPr>
        <w:t>Revised WID: Multi-RAT Dual-Connectivity and Carrier Aggregation enhancements</w:t>
      </w:r>
      <w:r w:rsidR="009E6681">
        <w:rPr>
          <w:rFonts w:ascii="Arial" w:hAnsi="Arial" w:cs="Arial"/>
        </w:rPr>
        <w:t xml:space="preserve">, </w:t>
      </w:r>
      <w:r w:rsidR="0018324F">
        <w:rPr>
          <w:rFonts w:ascii="Arial" w:hAnsi="Arial" w:cs="Arial"/>
        </w:rPr>
        <w:t>Jun</w:t>
      </w:r>
      <w:r w:rsidR="009E6681">
        <w:rPr>
          <w:rFonts w:ascii="Arial" w:hAnsi="Arial" w:cs="Arial"/>
        </w:rPr>
        <w:t xml:space="preserve">., </w:t>
      </w:r>
      <w:r w:rsidR="006952C1">
        <w:rPr>
          <w:rFonts w:ascii="Arial" w:hAnsi="Arial" w:cs="Arial"/>
        </w:rPr>
        <w:t>2020</w:t>
      </w:r>
      <w:r w:rsidR="009E6681">
        <w:rPr>
          <w:rFonts w:ascii="Arial" w:hAnsi="Arial" w:cs="Arial"/>
        </w:rPr>
        <w:t>.</w:t>
      </w:r>
      <w:bookmarkEnd w:id="10"/>
    </w:p>
    <w:p w14:paraId="0E02DB0C" w14:textId="5BDC98E5" w:rsidR="00553CD3" w:rsidRDefault="00E45A1C" w:rsidP="00E45A1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2" w:name="_Ref47553521"/>
      <w:r w:rsidRPr="00E45A1C">
        <w:rPr>
          <w:rFonts w:ascii="Arial" w:hAnsi="Arial" w:cs="Arial"/>
        </w:rPr>
        <w:t>RP-202030</w:t>
      </w:r>
      <w:r w:rsidR="00553CD3">
        <w:rPr>
          <w:rFonts w:ascii="Arial" w:hAnsi="Arial" w:cs="Arial"/>
        </w:rPr>
        <w:t xml:space="preserve">, </w:t>
      </w:r>
      <w:r w:rsidRPr="00E45A1C">
        <w:rPr>
          <w:rFonts w:ascii="Arial" w:hAnsi="Arial" w:cs="Arial"/>
        </w:rPr>
        <w:t>Moderator’s Summary for Email Discussion</w:t>
      </w:r>
      <w:r w:rsidR="00553CD3">
        <w:rPr>
          <w:rFonts w:ascii="Arial" w:hAnsi="Arial" w:cs="Arial"/>
        </w:rPr>
        <w:t xml:space="preserve">, </w:t>
      </w:r>
      <w:r w:rsidRPr="00E45A1C">
        <w:rPr>
          <w:rFonts w:ascii="Arial" w:hAnsi="Arial" w:cs="Arial"/>
        </w:rPr>
        <w:t>MediaTek</w:t>
      </w:r>
      <w:r w:rsidR="00553CD3" w:rsidRPr="005660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Sep.</w:t>
      </w:r>
      <w:r w:rsidR="00553CD3">
        <w:rPr>
          <w:rFonts w:ascii="Arial" w:hAnsi="Arial" w:cs="Arial"/>
        </w:rPr>
        <w:t>, 2020.</w:t>
      </w:r>
      <w:bookmarkEnd w:id="12"/>
    </w:p>
    <w:p w14:paraId="4D14A4A5" w14:textId="37DC2F8B" w:rsidR="00F135F7" w:rsidRPr="00E45A1C" w:rsidRDefault="00E45A1C" w:rsidP="00E45A1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3" w:name="_Ref53777183"/>
      <w:r w:rsidRPr="00E45A1C">
        <w:rPr>
          <w:rFonts w:ascii="Arial" w:hAnsi="Arial" w:cs="Arial"/>
        </w:rPr>
        <w:t>TS 38.</w:t>
      </w:r>
      <w:r>
        <w:rPr>
          <w:rFonts w:ascii="Arial" w:hAnsi="Arial" w:cs="Arial"/>
        </w:rPr>
        <w:t>133 v16.5</w:t>
      </w:r>
      <w:r w:rsidRPr="00E45A1C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 w:rsidRPr="00E45A1C">
        <w:rPr>
          <w:rFonts w:ascii="Arial" w:hAnsi="Arial" w:cs="Arial"/>
        </w:rPr>
        <w:t>3GPP</w:t>
      </w:r>
      <w:r>
        <w:rPr>
          <w:rFonts w:ascii="Arial" w:hAnsi="Arial" w:cs="Arial"/>
        </w:rPr>
        <w:t>, Sep., 2020.</w:t>
      </w:r>
      <w:bookmarkEnd w:id="13"/>
    </w:p>
    <w:p w14:paraId="6FD93741" w14:textId="77777777" w:rsidR="0018324F" w:rsidRPr="0018324F" w:rsidRDefault="0018324F" w:rsidP="0018324F">
      <w:pPr>
        <w:ind w:right="72"/>
        <w:rPr>
          <w:rFonts w:ascii="Arial" w:hAnsi="Arial" w:cs="Arial"/>
        </w:rPr>
      </w:pPr>
      <w:bookmarkStart w:id="14" w:name="_Ref32343189"/>
    </w:p>
    <w:bookmarkEnd w:id="11"/>
    <w:bookmarkEnd w:id="14"/>
    <w:bookmarkEnd w:id="2"/>
    <w:p w14:paraId="77F05B53" w14:textId="77777777" w:rsidR="00415949" w:rsidRPr="00B0627C" w:rsidRDefault="00415949" w:rsidP="005A051B"/>
    <w:sectPr w:rsidR="00415949" w:rsidRPr="00B0627C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74B1B" w14:textId="77777777" w:rsidR="00C229F6" w:rsidRDefault="00C229F6">
      <w:r>
        <w:separator/>
      </w:r>
    </w:p>
  </w:endnote>
  <w:endnote w:type="continuationSeparator" w:id="0">
    <w:p w14:paraId="583FBB93" w14:textId="77777777" w:rsidR="00C229F6" w:rsidRDefault="00C2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4B67A" w14:textId="77777777" w:rsidR="00C229F6" w:rsidRDefault="00C229F6">
      <w:r>
        <w:separator/>
      </w:r>
    </w:p>
  </w:footnote>
  <w:footnote w:type="continuationSeparator" w:id="0">
    <w:p w14:paraId="6F43BB68" w14:textId="77777777" w:rsidR="00C229F6" w:rsidRDefault="00C2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4DF"/>
    <w:multiLevelType w:val="hybridMultilevel"/>
    <w:tmpl w:val="41DA9F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A0461FE">
      <w:start w:val="67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511F3"/>
    <w:multiLevelType w:val="hybridMultilevel"/>
    <w:tmpl w:val="90A48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0734B7"/>
    <w:multiLevelType w:val="hybridMultilevel"/>
    <w:tmpl w:val="FC18B57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1231A31"/>
    <w:multiLevelType w:val="hybridMultilevel"/>
    <w:tmpl w:val="F6689B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1086A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C5A2E"/>
    <w:multiLevelType w:val="hybridMultilevel"/>
    <w:tmpl w:val="9CF61C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4B762C"/>
    <w:multiLevelType w:val="hybridMultilevel"/>
    <w:tmpl w:val="14DA4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605D00"/>
    <w:multiLevelType w:val="hybridMultilevel"/>
    <w:tmpl w:val="7C820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257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C533D"/>
    <w:multiLevelType w:val="multilevel"/>
    <w:tmpl w:val="01349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EA97EBC"/>
    <w:multiLevelType w:val="hybridMultilevel"/>
    <w:tmpl w:val="87B4692C"/>
    <w:lvl w:ilvl="0" w:tplc="49661EF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A0461FE">
      <w:start w:val="6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A662E50">
      <w:start w:val="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DE4487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2AAFF9E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6A6D26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A3A612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D54751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F90A7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53A82806"/>
    <w:multiLevelType w:val="hybridMultilevel"/>
    <w:tmpl w:val="329A9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5A5442"/>
    <w:multiLevelType w:val="hybridMultilevel"/>
    <w:tmpl w:val="51941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E0529A"/>
    <w:multiLevelType w:val="hybridMultilevel"/>
    <w:tmpl w:val="623A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B435D"/>
    <w:multiLevelType w:val="hybridMultilevel"/>
    <w:tmpl w:val="EC24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BB39BC"/>
    <w:multiLevelType w:val="hybridMultilevel"/>
    <w:tmpl w:val="41920FB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B17F23"/>
    <w:multiLevelType w:val="hybridMultilevel"/>
    <w:tmpl w:val="4E7C8298"/>
    <w:lvl w:ilvl="0" w:tplc="766ED18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B5A8CC6">
      <w:start w:val="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28A7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A4A320E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71C2644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8AEAEE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790AF7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64CDDD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830236E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CD23761"/>
    <w:multiLevelType w:val="hybridMultilevel"/>
    <w:tmpl w:val="C240A9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4C10AC"/>
    <w:multiLevelType w:val="hybridMultilevel"/>
    <w:tmpl w:val="B67E9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F6D2A"/>
    <w:multiLevelType w:val="hybridMultilevel"/>
    <w:tmpl w:val="6E3C75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3272AF"/>
    <w:multiLevelType w:val="hybridMultilevel"/>
    <w:tmpl w:val="0512C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7970D4"/>
    <w:multiLevelType w:val="hybridMultilevel"/>
    <w:tmpl w:val="7DFA5D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883BEF"/>
    <w:multiLevelType w:val="hybridMultilevel"/>
    <w:tmpl w:val="E3526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D0379E"/>
    <w:multiLevelType w:val="hybridMultilevel"/>
    <w:tmpl w:val="EC7A8BB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7F332362"/>
    <w:multiLevelType w:val="hybridMultilevel"/>
    <w:tmpl w:val="14DA4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0"/>
  </w:num>
  <w:num w:numId="5">
    <w:abstractNumId w:val="18"/>
  </w:num>
  <w:num w:numId="6">
    <w:abstractNumId w:val="16"/>
  </w:num>
  <w:num w:numId="7">
    <w:abstractNumId w:val="12"/>
  </w:num>
  <w:num w:numId="8">
    <w:abstractNumId w:val="4"/>
  </w:num>
  <w:num w:numId="9">
    <w:abstractNumId w:val="6"/>
  </w:num>
  <w:num w:numId="10">
    <w:abstractNumId w:val="9"/>
  </w:num>
  <w:num w:numId="11">
    <w:abstractNumId w:val="24"/>
  </w:num>
  <w:num w:numId="12">
    <w:abstractNumId w:val="21"/>
  </w:num>
  <w:num w:numId="13">
    <w:abstractNumId w:val="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8"/>
  </w:num>
  <w:num w:numId="29">
    <w:abstractNumId w:val="15"/>
  </w:num>
  <w:num w:numId="30">
    <w:abstractNumId w:val="26"/>
  </w:num>
  <w:num w:numId="31">
    <w:abstractNumId w:val="14"/>
  </w:num>
  <w:num w:numId="32">
    <w:abstractNumId w:val="17"/>
  </w:num>
  <w:num w:numId="33">
    <w:abstractNumId w:val="7"/>
  </w:num>
  <w:num w:numId="34">
    <w:abstractNumId w:val="23"/>
  </w:num>
  <w:num w:numId="35">
    <w:abstractNumId w:val="22"/>
  </w:num>
  <w:num w:numId="36">
    <w:abstractNumId w:val="5"/>
  </w:num>
  <w:num w:numId="37">
    <w:abstractNumId w:val="1"/>
  </w:num>
  <w:num w:numId="38">
    <w:abstractNumId w:val="13"/>
  </w:num>
  <w:num w:numId="39">
    <w:abstractNumId w:val="2"/>
  </w:num>
  <w:num w:numId="4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A9D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441A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2F8"/>
    <w:rsid w:val="00732C94"/>
    <w:rsid w:val="00733392"/>
    <w:rsid w:val="007335DC"/>
    <w:rsid w:val="007339A8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53F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5AC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A56"/>
    <w:rsid w:val="00AF2ECD"/>
    <w:rsid w:val="00AF2FD9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5D88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9F6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253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480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C48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5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35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353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04807-522B-484B-8424-45BDE4F6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2020-10-22T03:44:00Z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